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Subway graph" w:hAnsi="Subway graph" w:cs="Subway graph" w:eastAsia="Subway graph"/>
          <w:b/>
          <w:color w:val="auto"/>
          <w:spacing w:val="0"/>
          <w:position w:val="0"/>
          <w:sz w:val="24"/>
          <w:shd w:fill="auto" w:val="clear"/>
        </w:rPr>
        <w:t xml:space="preserve">BURKHARD </w:t>
      </w:r>
      <w:r>
        <w:rPr>
          <w:rFonts w:ascii="Times New Roman" w:hAnsi="Times New Roman" w:cs="Times New Roman" w:eastAsia="Times New Roman"/>
          <w:b/>
          <w:color w:val="auto"/>
          <w:spacing w:val="0"/>
          <w:position w:val="0"/>
          <w:sz w:val="14"/>
          <w:shd w:fill="auto" w:val="clear"/>
        </w:rPr>
        <w:t xml:space="preserve">  </w:t>
      </w:r>
      <w:r>
        <w:rPr>
          <w:rFonts w:ascii="Times New Roman" w:hAnsi="Times New Roman" w:cs="Times New Roman" w:eastAsia="Times New Roman"/>
          <w:b/>
          <w:color w:val="auto"/>
          <w:spacing w:val="0"/>
          <w:position w:val="0"/>
          <w:sz w:val="24"/>
          <w:shd w:fill="auto" w:val="clear"/>
        </w:rPr>
        <w:t xml:space="preserve">                                      Name:__________________________________</w:t>
      </w:r>
    </w:p>
    <w:p>
      <w:pPr>
        <w:spacing w:before="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“How Effective is Your Congressman?”</w:t>
      </w:r>
    </w:p>
    <w:p>
      <w:pPr>
        <w:spacing w:before="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Background:  For this project, you will be using a number of online resources to complete a table which indicates the influence of a member of Congress. </w:t>
      </w:r>
    </w:p>
    <w:p>
      <w:pPr>
        <w:spacing w:before="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Congress Members in Question:  We will be researching all of the Congress members from the State of Colorado, as follows:</w:t>
      </w:r>
    </w:p>
    <w:tbl>
      <w:tblPr/>
      <w:tblGrid>
        <w:gridCol w:w="3211"/>
        <w:gridCol w:w="1828"/>
        <w:gridCol w:w="3316"/>
      </w:tblGrid>
      <w:tr>
        <w:trPr>
          <w:trHeight w:val="465" w:hRule="auto"/>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Congressperson</w:t>
            </w: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Period</w:t>
            </w: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w:t>
            </w:r>
            <w:r>
              <w:rPr>
                <w:rFonts w:ascii="Times New Roman" w:hAnsi="Times New Roman" w:cs="Times New Roman" w:eastAsia="Times New Roman"/>
                <w:color w:val="auto"/>
                <w:spacing w:val="0"/>
                <w:position w:val="0"/>
                <w:sz w:val="24"/>
                <w:shd w:fill="auto" w:val="clear"/>
                <w:vertAlign w:val="superscript"/>
              </w:rPr>
              <w:t xml:space="preserve">th</w:t>
            </w:r>
            <w:r>
              <w:rPr>
                <w:rFonts w:ascii="Times New Roman" w:hAnsi="Times New Roman" w:cs="Times New Roman" w:eastAsia="Times New Roman"/>
                <w:color w:val="auto"/>
                <w:spacing w:val="0"/>
                <w:position w:val="0"/>
                <w:sz w:val="24"/>
                <w:shd w:fill="auto" w:val="clear"/>
              </w:rPr>
              <w:t xml:space="preserve"> Period</w:t>
            </w:r>
          </w:p>
        </w:tc>
      </w:tr>
      <w:tr>
        <w:trPr>
          <w:trHeight w:val="1" w:hRule="atLeast"/>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Diana DeGette</w:t>
            </w: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Roger</w:t>
            </w:r>
          </w:p>
        </w:tc>
      </w:tr>
      <w:tr>
        <w:trPr>
          <w:trHeight w:val="1" w:hRule="atLeast"/>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Joe Neguse</w:t>
            </w: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Liz</w:t>
            </w: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Nate, Jessica</w:t>
            </w:r>
          </w:p>
        </w:tc>
      </w:tr>
      <w:tr>
        <w:trPr>
          <w:trHeight w:val="1" w:hRule="atLeast"/>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Scott Tipton</w:t>
            </w: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Mireya</w:t>
            </w:r>
          </w:p>
        </w:tc>
      </w:tr>
      <w:tr>
        <w:trPr>
          <w:trHeight w:val="1" w:hRule="atLeast"/>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Doug Lamborn</w:t>
            </w: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w:t>
            </w: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Tristan</w:t>
            </w:r>
          </w:p>
        </w:tc>
      </w:tr>
      <w:tr>
        <w:trPr>
          <w:trHeight w:val="1" w:hRule="atLeast"/>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Mike Coffman</w:t>
            </w: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Alyssa</w:t>
            </w: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Gage</w:t>
            </w:r>
          </w:p>
        </w:tc>
      </w:tr>
      <w:tr>
        <w:trPr>
          <w:trHeight w:val="1" w:hRule="atLeast"/>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Ed Perlmutter</w:t>
            </w: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Tiffany</w:t>
            </w: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Omar</w:t>
            </w:r>
          </w:p>
        </w:tc>
      </w:tr>
      <w:tr>
        <w:trPr>
          <w:trHeight w:val="1" w:hRule="atLeast"/>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Jason Crow</w:t>
            </w: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Joshua</w:t>
            </w: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Isaac</w:t>
            </w:r>
          </w:p>
        </w:tc>
      </w:tr>
      <w:tr>
        <w:trPr>
          <w:trHeight w:val="1" w:hRule="atLeast"/>
          <w:jc w:val="left"/>
        </w:trPr>
        <w:tc>
          <w:tcPr>
            <w:tcW w:w="3211"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828"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3316" w:type="dxa"/>
            <w:tcBorders>
              <w:top w:val="single" w:color="000000" w:sz="6"/>
              <w:left w:val="single" w:color="000000" w:sz="6"/>
              <w:bottom w:val="single" w:color="000000" w:sz="6"/>
              <w:right w:val="single" w:color="000000" w:sz="6"/>
            </w:tcBorders>
            <w:shd w:color="auto" w:fill="ffffff" w:val="clear"/>
            <w:tcMar>
              <w:left w:w="7" w:type="dxa"/>
              <w:right w:w="7"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0" w:after="10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Websites:</w:t>
      </w: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CongressLink</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http://www.congresslink.org</w:t>
        </w:r>
      </w:hyperlink>
      <w:r>
        <w:rPr>
          <w:rFonts w:ascii="Times New Roman" w:hAnsi="Times New Roman" w:cs="Times New Roman" w:eastAsia="Times New Roman"/>
          <w:color w:val="auto"/>
          <w:spacing w:val="0"/>
          <w:position w:val="0"/>
          <w:sz w:val="24"/>
          <w:shd w:fill="auto" w:val="clear"/>
        </w:rPr>
        <w:t xml:space="preserve">). CongressLink has the Congressional Information Center which provides links to every Congress member's office and Web site, information about leaders in Congress, and committee assignments and charters.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AboutGovernment</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http://www.aboutgovernment.org</w:t>
        </w:r>
      </w:hyperlink>
      <w:r>
        <w:rPr>
          <w:rFonts w:ascii="Times New Roman" w:hAnsi="Times New Roman" w:cs="Times New Roman" w:eastAsia="Times New Roman"/>
          <w:color w:val="auto"/>
          <w:spacing w:val="0"/>
          <w:position w:val="0"/>
          <w:sz w:val="24"/>
          <w:shd w:fill="auto" w:val="clear"/>
        </w:rPr>
        <w:t xml:space="preserve">). This site provides links to more than 250 Web sites about the federal government, including a great many about the U.S. Congress. Teachers may want to limit the number or pre-select the most useful ones.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Federal Election Commission</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auto" w:val="clear"/>
          </w:rPr>
          <w:t xml:space="preserve">http://www.fec.gov/</w:t>
        </w:r>
      </w:hyperlink>
      <w:r>
        <w:rPr>
          <w:rFonts w:ascii="Times New Roman" w:hAnsi="Times New Roman" w:cs="Times New Roman" w:eastAsia="Times New Roman"/>
          <w:color w:val="auto"/>
          <w:spacing w:val="0"/>
          <w:position w:val="0"/>
          <w:sz w:val="24"/>
          <w:shd w:fill="auto" w:val="clear"/>
        </w:rPr>
        <w:t xml:space="preserve">) where you can search for the status of a Congress member's campaign fund.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Votesmart.org</w:t>
      </w:r>
      <w:r>
        <w:rPr>
          <w:rFonts w:ascii="Times New Roman" w:hAnsi="Times New Roman" w:cs="Times New Roman" w:eastAsia="Times New Roman"/>
          <w:color w:val="auto"/>
          <w:spacing w:val="0"/>
          <w:position w:val="0"/>
          <w:sz w:val="24"/>
          <w:shd w:fill="auto" w:val="clear"/>
        </w:rPr>
        <w:t xml:space="preserve"> (</w:t>
      </w:r>
      <w:hyperlink xmlns:r="http://schemas.openxmlformats.org/officeDocument/2006/relationships" r:id="docRId3">
        <w:r>
          <w:rPr>
            <w:rFonts w:ascii="Times New Roman" w:hAnsi="Times New Roman" w:cs="Times New Roman" w:eastAsia="Times New Roman"/>
            <w:color w:val="0000FF"/>
            <w:spacing w:val="0"/>
            <w:position w:val="0"/>
            <w:sz w:val="24"/>
            <w:u w:val="single"/>
            <w:shd w:fill="auto" w:val="clear"/>
          </w:rPr>
          <w:t xml:space="preserve">http://www.votesmart.org</w:t>
        </w:r>
      </w:hyperlink>
      <w:r>
        <w:rPr>
          <w:rFonts w:ascii="Times New Roman" w:hAnsi="Times New Roman" w:cs="Times New Roman" w:eastAsia="Times New Roman"/>
          <w:color w:val="auto"/>
          <w:spacing w:val="0"/>
          <w:position w:val="0"/>
          <w:sz w:val="24"/>
          <w:shd w:fill="auto" w:val="clear"/>
        </w:rPr>
        <w:t xml:space="preserve">)  Good overall site to see the status of representatives voting records, finances, etc.</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Congressional Power Index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HOW TO USE THIS TABLE</w:t>
      </w:r>
      <w:r>
        <w:rPr>
          <w:rFonts w:ascii="Times New Roman" w:hAnsi="Times New Roman" w:cs="Times New Roman" w:eastAsia="Times New Roman"/>
          <w:color w:val="auto"/>
          <w:spacing w:val="0"/>
          <w:position w:val="0"/>
          <w:sz w:val="24"/>
          <w:shd w:fill="auto" w:val="clear"/>
        </w:rPr>
        <w:t xml:space="preserve">: To get a rough approximation of a Congress member's influence, use the table below to compile a rating. The higher the number, the more influential the member. You may not be able to determine the measurement factor in all cases, but the index can be useful even if only partially completed.</w:t>
      </w:r>
    </w:p>
    <w:tbl>
      <w:tblPr/>
      <w:tblGrid>
        <w:gridCol w:w="6951"/>
        <w:gridCol w:w="1960"/>
      </w:tblGrid>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FACTOR</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INDEX</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 Is of the majority party in the chamber. </w:t>
              <w:br/>
            </w:r>
            <w:r>
              <w:rPr>
                <w:rFonts w:ascii="Times New Roman" w:hAnsi="Times New Roman" w:cs="Times New Roman" w:eastAsia="Times New Roman"/>
                <w:i/>
                <w:color w:val="auto"/>
                <w:spacing w:val="0"/>
                <w:position w:val="0"/>
                <w:sz w:val="24"/>
                <w:shd w:fill="auto" w:val="clear"/>
              </w:rPr>
              <w:t xml:space="preserve">If "yes," rates a 3. If member is of the minority party, rates a -3</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If Independent, score a 0.</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-3 0 3</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Holds formal elected party leadership post in the House or Senate. </w:t>
              <w:br/>
            </w:r>
            <w:r>
              <w:rPr>
                <w:rFonts w:ascii="Times New Roman" w:hAnsi="Times New Roman" w:cs="Times New Roman" w:eastAsia="Times New Roman"/>
                <w:i/>
                <w:color w:val="auto"/>
                <w:spacing w:val="0"/>
                <w:position w:val="0"/>
                <w:sz w:val="24"/>
                <w:shd w:fill="auto" w:val="clear"/>
              </w:rPr>
              <w:t xml:space="preserve">Speaker of the House and Majority Leader of the Senate = 5</w:t>
              <w:br/>
              <w:t xml:space="preserve">Minority Leader, Assistant Majority Leader = 4</w:t>
              <w:br/>
              <w:t xml:space="preserve">Majority Whip, Assistant Minority Leader, Minority Whip = 3</w:t>
              <w:br/>
              <w:t xml:space="preserve">Assistant Whips, Republican or Democratic Conference Chair = 2</w:t>
              <w:br/>
              <w:t xml:space="preserve">Rep./Dem. Conference Secretary, Rep/Dem Policy Chair = 1</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0 1 2 3 4 5</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3. Chairs (or is ranking member of) a "money" committee.</w:t>
              <w:br/>
            </w:r>
            <w:r>
              <w:rPr>
                <w:rFonts w:ascii="Times New Roman" w:hAnsi="Times New Roman" w:cs="Times New Roman" w:eastAsia="Times New Roman"/>
                <w:i/>
                <w:color w:val="auto"/>
                <w:spacing w:val="0"/>
                <w:position w:val="0"/>
                <w:sz w:val="24"/>
                <w:shd w:fill="auto" w:val="clear"/>
              </w:rPr>
              <w:t xml:space="preserve">Committee chair rates a 5, ranking member a 3. House "money" committees: Appropriations, Budget, and Ways and Means</w:t>
              <w:br/>
              <w:t xml:space="preserve">Senate "money" committees: Appropriations and Finance</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0 3 5</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4. Chairs (or is ranking member of) another committee.</w:t>
              <w:br/>
            </w:r>
            <w:r>
              <w:rPr>
                <w:rFonts w:ascii="Times New Roman" w:hAnsi="Times New Roman" w:cs="Times New Roman" w:eastAsia="Times New Roman"/>
                <w:i/>
                <w:color w:val="auto"/>
                <w:spacing w:val="0"/>
                <w:position w:val="0"/>
                <w:sz w:val="24"/>
                <w:shd w:fill="auto" w:val="clear"/>
              </w:rPr>
              <w:t xml:space="preserve">Chair rates a 4, ranking member a 2. </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0 2 4</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Chairs (or is ranking member) a subcommittee.</w:t>
              <w:br/>
            </w:r>
            <w:r>
              <w:rPr>
                <w:rFonts w:ascii="Times New Roman" w:hAnsi="Times New Roman" w:cs="Times New Roman" w:eastAsia="Times New Roman"/>
                <w:i/>
                <w:color w:val="auto"/>
                <w:spacing w:val="0"/>
                <w:position w:val="0"/>
                <w:sz w:val="24"/>
                <w:shd w:fill="auto" w:val="clear"/>
              </w:rPr>
              <w:t xml:space="preserve">Chair rates a 3, ranking member a 1.</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0 1 3</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6. Is a member of one of the following committees (rates a 3 for each)</w:t>
              <w:br/>
            </w:r>
            <w:r>
              <w:rPr>
                <w:rFonts w:ascii="Times New Roman" w:hAnsi="Times New Roman" w:cs="Times New Roman" w:eastAsia="Times New Roman"/>
                <w:i/>
                <w:color w:val="auto"/>
                <w:spacing w:val="0"/>
                <w:position w:val="0"/>
                <w:sz w:val="24"/>
                <w:shd w:fill="auto" w:val="clear"/>
              </w:rPr>
              <w:t xml:space="preserve">House: Appropriations, Armed Services, Energy and Commerce, Rules, or Ways and Means</w:t>
              <w:br/>
              <w:t xml:space="preserve">Senate: Appropriations, Armed Services, Budget, Finance, Judiciary</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0 3 6</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7. Seniority. (Measured in times elected to Congress)</w:t>
              <w:br/>
            </w:r>
            <w:r>
              <w:rPr>
                <w:rFonts w:ascii="Times New Roman" w:hAnsi="Times New Roman" w:cs="Times New Roman" w:eastAsia="Times New Roman"/>
                <w:i/>
                <w:color w:val="auto"/>
                <w:spacing w:val="0"/>
                <w:position w:val="0"/>
                <w:sz w:val="24"/>
                <w:shd w:fill="auto" w:val="clear"/>
              </w:rPr>
              <w:t xml:space="preserve">1 election victory rates a 0, then score 1 for each election won up afterwards-  2 wins rates a 1, six wins rates a 5, etc. </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0 1 2 3 4 5</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8. Margin of victory in last election. </w:t>
            </w:r>
            <w:r>
              <w:rPr>
                <w:rFonts w:ascii="Times New Roman" w:hAnsi="Times New Roman" w:cs="Times New Roman" w:eastAsia="Times New Roman"/>
                <w:i/>
                <w:color w:val="auto"/>
                <w:spacing w:val="0"/>
                <w:position w:val="0"/>
                <w:sz w:val="24"/>
                <w:shd w:fill="auto" w:val="clear"/>
              </w:rPr>
              <w:br/>
              <w:t xml:space="preserve">Greater than 60 percent is highest rank at 3</w:t>
              <w:br/>
              <w:t xml:space="preserve">59-60 rates a 2</w:t>
              <w:br/>
              <w:t xml:space="preserve">56-58 rates a 1</w:t>
              <w:br/>
              <w:t xml:space="preserve">53-55 rates a 0</w:t>
              <w:br/>
              <w:t xml:space="preserve">50-52 rates a -1</w:t>
              <w:br/>
              <w:t xml:space="preserve">less than 50 percent rates a -2</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-2 -1 0 1 2 3</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9. Amount of campaign funds on hand.</w:t>
              <w:br/>
            </w:r>
            <w:r>
              <w:rPr>
                <w:rFonts w:ascii="Times New Roman" w:hAnsi="Times New Roman" w:cs="Times New Roman" w:eastAsia="Times New Roman"/>
                <w:i/>
                <w:color w:val="auto"/>
                <w:spacing w:val="0"/>
                <w:position w:val="0"/>
                <w:sz w:val="24"/>
                <w:shd w:fill="auto" w:val="clear"/>
              </w:rPr>
              <w:t xml:space="preserve">Amounts depend on individual situation, such as competitiveness of the district. Lacking such information, </w:t>
              <w:br/>
              <w:t xml:space="preserve">less than $100,000 = -5</w:t>
              <w:br/>
              <w:t xml:space="preserve">$100,000 - $199,999 = -4</w:t>
              <w:br/>
              <w:t xml:space="preserve">$200,000 - $299,999 rates -3</w:t>
              <w:br/>
              <w:t xml:space="preserve">$300,00 - $399,999 rates -2</w:t>
              <w:br/>
              <w:t xml:space="preserve">$400,000 - $499,999 rates -1</w:t>
              <w:br/>
              <w:t xml:space="preserve">$500,000 - $599,999 rates 0</w:t>
              <w:br/>
              <w:t xml:space="preserve">$600,000 - $699,999 rates 1</w:t>
              <w:br/>
              <w:t xml:space="preserve">$700,000 - $799,999 rates 2</w:t>
              <w:br/>
              <w:t xml:space="preserve">$800,000 - $899,999 rates 3</w:t>
              <w:br/>
              <w:t xml:space="preserve">$900,000 - $999,999 rates 4</w:t>
              <w:br/>
              <w:t xml:space="preserve">$1,000,000 and over rates 5</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-5 -4 -3 -2 -1 0 1 2 3 4 5</w:t>
            </w:r>
          </w:p>
        </w:tc>
      </w:tr>
      <w:tr>
        <w:trPr>
          <w:trHeight w:val="1" w:hRule="atLeast"/>
          <w:jc w:val="center"/>
        </w:trPr>
        <w:tc>
          <w:tcPr>
            <w:tcW w:w="6951" w:type="dxa"/>
            <w:tcBorders>
              <w:top w:val="single" w:color="82874b" w:sz="6"/>
              <w:left w:val="single" w:color="82874b" w:sz="6"/>
              <w:bottom w:val="single" w:color="82874b" w:sz="6"/>
              <w:right w:val="single" w:color="82874b" w:sz="6"/>
            </w:tcBorders>
            <w:shd w:color="000000" w:fill="ffffff" w:val="clear"/>
            <w:tcMar>
              <w:left w:w="0" w:type="dxa"/>
              <w:right w:w="0" w:type="dxa"/>
            </w:tcMar>
            <w:vAlign w:val="top"/>
          </w:tcPr>
          <w:p>
            <w:pPr>
              <w:spacing w:before="100" w:after="1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10. Exposure in national press.</w:t>
              <w:br/>
            </w:r>
            <w:r>
              <w:rPr>
                <w:rFonts w:ascii="Times New Roman" w:hAnsi="Times New Roman" w:cs="Times New Roman" w:eastAsia="Times New Roman"/>
                <w:i/>
                <w:color w:val="auto"/>
                <w:spacing w:val="0"/>
                <w:position w:val="0"/>
                <w:sz w:val="24"/>
                <w:shd w:fill="auto" w:val="clear"/>
              </w:rPr>
              <w:t xml:space="preserve">Washington Post Online Search for one week (1 point for every 4 hits with 5 points the maximum)</w:t>
            </w:r>
          </w:p>
        </w:tc>
        <w:tc>
          <w:tcPr>
            <w:tcW w:w="1960" w:type="dxa"/>
            <w:tcBorders>
              <w:top w:val="single" w:color="82874b" w:sz="6"/>
              <w:left w:val="single" w:color="82874b" w:sz="6"/>
              <w:bottom w:val="single" w:color="82874b" w:sz="6"/>
              <w:right w:val="single" w:color="82874b" w:sz="6"/>
            </w:tcBorders>
            <w:shd w:color="000000" w:fill="ffffff" w:val="clear"/>
            <w:tcMar>
              <w:left w:w="0" w:type="dxa"/>
              <w:right w:w="0" w:type="dxa"/>
            </w:tcMar>
            <w:vAlign w:val="center"/>
          </w:tcPr>
          <w:p>
            <w:pPr>
              <w:spacing w:before="100" w:after="10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0 1 2 3 4 5</w:t>
            </w:r>
          </w:p>
        </w:tc>
      </w:tr>
    </w:tbl>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Questions: </w:t>
      </w:r>
    </w:p>
    <w:p>
      <w:pPr>
        <w:numPr>
          <w:ilvl w:val="0"/>
          <w:numId w:val="63"/>
        </w:numPr>
        <w:spacing w:before="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was your Congress member and what is your Congress member’s score on the influence table above?  How does this compare to the numbers of some of the other Congress members being researched?  What do you feel this means regarding the influence that your Congress Member has in the House of Representatives?</w:t>
      </w: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5"/>
        </w:numPr>
        <w:spacing w:before="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might you measure the quality of a Congress member's constituent service? Does high quality constituent service give a member more power or influence in Congress?  Why?</w:t>
      </w: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0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7"/>
        </w:numPr>
        <w:spacing w:before="0" w:after="10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other ways exist to measure a member's influence on legislation, in addition to committee service and leadership position?</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3">
    <w:abstractNumId w:val="12"/>
  </w:num>
  <w:num w:numId="65">
    <w:abstractNumId w:val="6"/>
  </w:num>
  <w:num w:numId="6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aboutgovernment.org/" Id="docRId1" Type="http://schemas.openxmlformats.org/officeDocument/2006/relationships/hyperlink" /><Relationship TargetMode="External" Target="http://www.votesmart.org/" Id="docRId3" Type="http://schemas.openxmlformats.org/officeDocument/2006/relationships/hyperlink" /><Relationship Target="styles.xml" Id="docRId5" Type="http://schemas.openxmlformats.org/officeDocument/2006/relationships/styles" /><Relationship TargetMode="External" Target="http://www.congresslink.org/index.htm" Id="docRId0" Type="http://schemas.openxmlformats.org/officeDocument/2006/relationships/hyperlink" /><Relationship TargetMode="External" Target="http://www.fec.gov/" Id="docRId2" Type="http://schemas.openxmlformats.org/officeDocument/2006/relationships/hyperlink" /><Relationship Target="numbering.xml" Id="docRId4" Type="http://schemas.openxmlformats.org/officeDocument/2006/relationships/numbering" /></Relationships>
</file>